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  <w:i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DESCRIZIONE PROCEDIMENTO          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Richiedere permesso per passo carrabile</w:t>
      </w:r>
    </w:p>
    <w:p>
      <w:pPr/>
      <w:r>
        <w:rPr>
          <w:rFonts w:ascii="Times" w:hAnsi="Times" w:cs="Times"/>
          <w:sz w:val="24"/>
          <w:sz-cs w:val="24"/>
          <w:i/>
        </w:rPr>
        <w:t xml:space="preserve">Unità organizzativa responsabile dell’istruttoria</w:t>
      </w:r>
    </w:p>
    <w:p>
      <w:pPr/>
      <w:r>
        <w:rPr>
          <w:rFonts w:ascii="Times" w:hAnsi="Times" w:cs="Times"/>
          <w:sz w:val="24"/>
          <w:sz-cs w:val="24"/>
        </w:rPr>
        <w:t xml:space="preserve">Ufficio Tributi</w:t>
      </w:r>
    </w:p>
    <w:p>
      <w:pPr/>
      <w:r>
        <w:rPr>
          <w:rFonts w:ascii="Times" w:hAnsi="Times" w:cs="Times"/>
          <w:sz w:val="24"/>
          <w:sz-cs w:val="24"/>
          <w:i/>
        </w:rPr>
        <w:t xml:space="preserve">Modalità di accesso e canali attraverso i quali gli interessati possono ottenere le informazioni relative ai procedimenti in corso che li riguardano</w:t>
      </w:r>
    </w:p>
    <w:p>
      <w:pPr/>
      <w:r>
        <w:rPr>
          <w:rFonts w:ascii="Times" w:hAnsi="Times" w:cs="Times"/>
          <w:sz w:val="24"/>
          <w:sz-cs w:val="24"/>
        </w:rPr>
        <w:t xml:space="preserve">SITO:  WWW.COMUNE.TIVOLI.RM.IT – SEZIONE TRIBUTI  </w:t>
      </w:r>
    </w:p>
    <w:p>
      <w:pPr/>
      <w:r>
        <w:rPr>
          <w:rFonts w:ascii="Times" w:hAnsi="Times" w:cs="Times"/>
          <w:sz w:val="24"/>
          <w:sz-cs w:val="24"/>
        </w:rPr>
        <w:t xml:space="preserve">TELEFONO: 0774 453246</w:t>
      </w:r>
    </w:p>
    <w:p>
      <w:pPr/>
      <w:r>
        <w:rPr>
          <w:rFonts w:ascii="Times" w:hAnsi="Times" w:cs="Times"/>
          <w:sz w:val="24"/>
          <w:sz-cs w:val="24"/>
        </w:rPr>
        <w:t xml:space="preserve">PEC: info@pec.comune.tivoli.rm.it</w:t>
      </w:r>
    </w:p>
    <w:p>
      <w:pPr/>
      <w:r>
        <w:rPr>
          <w:rFonts w:ascii="Times" w:hAnsi="Times" w:cs="Times"/>
          <w:sz w:val="24"/>
          <w:sz-cs w:val="24"/>
          <w:i/>
        </w:rPr>
        <w:t xml:space="preserve">Termine per la conclusione con l’adozione di un provvedimento espresso/atto autorizzativo ed ogni altro termine procedimentale rilevante</w:t>
      </w:r>
    </w:p>
    <w:p>
      <w:pPr/>
      <w:r>
        <w:rPr>
          <w:rFonts w:ascii="Times" w:hAnsi="Times" w:cs="Times"/>
          <w:sz w:val="24"/>
          <w:sz-cs w:val="24"/>
        </w:rPr>
        <w:t xml:space="preserve">Entro 90 giorni dalla richiesta</w:t>
      </w:r>
    </w:p>
    <w:p>
      <w:pPr/>
      <w:r>
        <w:rPr>
          <w:rFonts w:ascii="Times" w:hAnsi="Times" w:cs="Times"/>
          <w:sz w:val="24"/>
          <w:sz-cs w:val="24"/>
          <w:i/>
        </w:rPr>
        <w:t xml:space="preserve">Procedimento con il quale il provvedimento può essere sostituito da una dichiarazione dell’interessato? (SI/NO)</w:t>
      </w:r>
    </w:p>
    <w:p>
      <w:pPr>
        <w:spacing w:before="100"/>
      </w:pPr>
      <w:r>
        <w:rPr>
          <w:rFonts w:ascii="Times" w:hAnsi="Times" w:cs="Times"/>
          <w:sz w:val="24"/>
          <w:sz-cs w:val="24"/>
        </w:rPr>
        <w:t xml:space="preserve">NO</w:t>
      </w:r>
    </w:p>
    <w:p>
      <w:pPr/>
      <w:r>
        <w:rPr>
          <w:rFonts w:ascii="Times" w:hAnsi="Times" w:cs="Times"/>
          <w:sz w:val="24"/>
          <w:sz-cs w:val="24"/>
          <w:i/>
        </w:rPr>
        <w:t xml:space="preserve">Modalità per effettuazione pagamenti e costi</w:t>
      </w:r>
    </w:p>
    <w:p>
      <w:pPr/>
      <w:r>
        <w:rPr>
          <w:rFonts w:ascii="Times" w:hAnsi="Times" w:cs="Times"/>
          <w:sz w:val="24"/>
          <w:sz-cs w:val="24"/>
        </w:rPr>
        <w:t xml:space="preserve">Il Versamento dovrà essere effettuato mediante bollettino PagoPA precompilato.</w:t>
      </w:r>
    </w:p>
    <w:p>
      <w:pPr/>
      <w:r>
        <w:rPr>
          <w:rFonts w:ascii="Times" w:hAnsi="Times" w:cs="Times"/>
          <w:sz w:val="24"/>
          <w:sz-cs w:val="24"/>
        </w:rPr>
        <w:t xml:space="preserve">Il versamento relativo alla prima annualità deve essere eseguito al momento della consegna dell’ autorizzazione o della presentazione della dichiarazione, per le annualità successive il versamento del canone va effettuato entro il 31 Marzo di ogni anno.</w:t>
      </w:r>
    </w:p>
    <w:p>
      <w:pPr/>
      <w:r>
        <w:rPr>
          <w:rFonts w:ascii="Times" w:hAnsi="Times" w:cs="Times"/>
          <w:sz w:val="24"/>
          <w:sz-cs w:val="24"/>
          <w:i/>
        </w:rPr>
        <w:t xml:space="preserve">Soggetto responsabile e/o soggetto che esercita il potere sostitutivo in caso di inerzia</w:t>
      </w:r>
    </w:p>
    <w:p>
      <w:pPr/>
      <w:r>
        <w:rPr>
          <w:rFonts w:ascii="Times" w:hAnsi="Times" w:cs="Times"/>
          <w:sz w:val="24"/>
          <w:sz-cs w:val="24"/>
        </w:rPr>
        <w:t xml:space="preserve"> P.O. Daniele Centani</w:t>
      </w:r>
    </w:p>
    <w:p>
      <w:pPr/>
      <w:r>
        <w:rPr>
          <w:rFonts w:ascii="Times" w:hAnsi="Times" w:cs="Times"/>
          <w:sz w:val="24"/>
          <w:sz-cs w:val="24"/>
          <w:i/>
        </w:rPr>
        <w:t xml:space="preserve">Riferimenti normativi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Legge 27 dicembre 2019, n.160 art. 1 commi 816-836;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“Regolamento Comunale per la disciplina del canone patrimoniale di occupazione del suolo pubblico e di esposizione pubblicitaria” approvato con Delibera di Consiglio Comunale n.10 del 26 marzo 2021 e ss.mm.ii. .</w:t>
      </w:r>
    </w:p>
    <w:sectPr>
      <w:pgSz w:w="11900" w:h="16840"/>
      <w:pgMar w:top="1417" w:right="1134" w:bottom="1134" w:left="1134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GuidoT</dc:creator>
</cp:coreProperties>
</file>

<file path=docProps/meta.xml><?xml version="1.0" encoding="utf-8"?>
<meta xmlns="http://schemas.apple.com/cocoa/2006/metadata">
  <generator>CocoaOOXMLWriter/2299.4</generator>
</meta>
</file>